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B33" w14:textId="77777777" w:rsidR="00825044" w:rsidRPr="001F7863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1F7863">
        <w:rPr>
          <w:rFonts w:ascii="Times New Roman" w:hAnsi="Times New Roman" w:cs="Times New Roman"/>
          <w:sz w:val="24"/>
          <w:szCs w:val="24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>FICHA DE INSCRIÇÃO PARA ALUNO</w:t>
      </w:r>
      <w:r w:rsidR="002D3F08" w:rsidRPr="0030687B">
        <w:rPr>
          <w:rFonts w:ascii="Times New Roman" w:hAnsi="Times New Roman" w:cs="Times New Roman"/>
        </w:rPr>
        <w:t>(A)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103990D5" w:rsidR="0030687B" w:rsidRPr="0030687B" w:rsidRDefault="00996111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021</w:t>
      </w:r>
      <w:r w:rsidR="0030687B" w:rsidRPr="002F61F8">
        <w:rPr>
          <w:rFonts w:ascii="Times New Roman" w:hAnsi="Times New Roman" w:cs="Times New Roman"/>
        </w:rPr>
        <w:t>/2021 – PPGHP/Unespar</w:t>
      </w:r>
    </w:p>
    <w:p w14:paraId="14ADE000" w14:textId="77777777" w:rsidR="0030687B" w:rsidRPr="00002430" w:rsidRDefault="0030687B" w:rsidP="00BF2BE2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38D4C10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 w:rsidR="008706F7">
        <w:rPr>
          <w:rFonts w:ascii="Times" w:hAnsi="Times"/>
          <w:b/>
        </w:rPr>
        <w:t xml:space="preserve">ASSINALE UM “X” </w:t>
      </w:r>
      <w:r w:rsidR="001F7863">
        <w:rPr>
          <w:rFonts w:ascii="Times" w:hAnsi="Times"/>
          <w:b/>
        </w:rPr>
        <w:t xml:space="preserve">NA(S)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1F7863" w:rsidRPr="00EB4ADC" w14:paraId="746CFC23" w14:textId="77777777" w:rsidTr="001F7863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62BFD576" w14:textId="77777777" w:rsidR="001F7863" w:rsidRPr="005F45BF" w:rsidRDefault="001F7863" w:rsidP="00290770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2º Semestre 2021</w:t>
            </w:r>
          </w:p>
        </w:tc>
      </w:tr>
      <w:tr w:rsidR="001F7863" w:rsidRPr="00EB4ADC" w14:paraId="021B88A2" w14:textId="77777777" w:rsidTr="001F7863">
        <w:trPr>
          <w:jc w:val="center"/>
        </w:trPr>
        <w:tc>
          <w:tcPr>
            <w:tcW w:w="695" w:type="dxa"/>
            <w:vAlign w:val="center"/>
          </w:tcPr>
          <w:p w14:paraId="1411B69D" w14:textId="77777777" w:rsidR="001F7863" w:rsidRPr="005F45BF" w:rsidRDefault="001F7863" w:rsidP="00290770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6976E18" w14:textId="77777777" w:rsidR="001F7863" w:rsidRPr="005F45BF" w:rsidRDefault="001F7863" w:rsidP="00290770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  <w:t>Tópicos especiais em Saberes e Linguagens V: História Pública e Direitos Humanos</w:t>
            </w: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– 15 horas / 01 crédito</w:t>
            </w:r>
          </w:p>
          <w:p w14:paraId="7A674603" w14:textId="77777777" w:rsidR="001F7863" w:rsidRPr="005F45BF" w:rsidRDefault="001F7863" w:rsidP="00290770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sz w:val="21"/>
                <w:szCs w:val="21"/>
              </w:rPr>
              <w:t>Prof. Dr. Angelo Priori</w:t>
            </w:r>
          </w:p>
          <w:p w14:paraId="66F5E33D" w14:textId="77777777" w:rsidR="001F7863" w:rsidRPr="005F45BF" w:rsidRDefault="001F7863" w:rsidP="002907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Direitos Humanos, democracia e cidadania. A construção dos Direitos Humanos em uma perspectiva histórica. Os direitos Humanos no Brasil.</w:t>
            </w:r>
          </w:p>
        </w:tc>
      </w:tr>
      <w:tr w:rsidR="001F7863" w:rsidRPr="00EB4ADC" w14:paraId="57CCBBED" w14:textId="77777777" w:rsidTr="001F7863">
        <w:trPr>
          <w:jc w:val="center"/>
        </w:trPr>
        <w:tc>
          <w:tcPr>
            <w:tcW w:w="695" w:type="dxa"/>
            <w:vAlign w:val="center"/>
          </w:tcPr>
          <w:p w14:paraId="755570C9" w14:textId="77777777" w:rsidR="001F7863" w:rsidRPr="005F45BF" w:rsidRDefault="001F7863" w:rsidP="00290770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69D4C93A" w14:textId="77777777" w:rsidR="001F7863" w:rsidRPr="005F45BF" w:rsidRDefault="001F7863" w:rsidP="0029077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>Tópicos especiais em Saberes e Linguagens III: Negacionismo histórico, revisionismo e História Pública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– 30 horas / 02 créditos</w:t>
            </w:r>
          </w:p>
          <w:p w14:paraId="2338B0BB" w14:textId="77777777" w:rsidR="001F7863" w:rsidRPr="005F45BF" w:rsidRDefault="001F7863" w:rsidP="00290770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Prof. Dr. Vanderlei Sebastião de Souza</w:t>
            </w:r>
          </w:p>
          <w:p w14:paraId="50E0B6AC" w14:textId="77777777" w:rsidR="001F7863" w:rsidRPr="005F45BF" w:rsidRDefault="001F7863" w:rsidP="0029077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F45BF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shd w:val="clear" w:color="auto" w:fill="FFFFFF"/>
              </w:rPr>
              <w:t>Esta disciplina estuda o que é negacionismo e revisionismo históricos e suas relações com a História Pública, articulando discussões sobre os sentidos políticos do conhecimento histórico e o lugar dos historiadores no debate público contemporâneo. Ao mesmo tempo, a disciplina estuda as relações entre história, memória e política, problematizando as interconexões entre o conhecimento histórico e os usos públicos do passado.</w:t>
            </w:r>
          </w:p>
        </w:tc>
      </w:tr>
      <w:tr w:rsidR="001F7863" w:rsidRPr="00EB4ADC" w14:paraId="644EBED6" w14:textId="77777777" w:rsidTr="001F7863">
        <w:trPr>
          <w:jc w:val="center"/>
        </w:trPr>
        <w:tc>
          <w:tcPr>
            <w:tcW w:w="695" w:type="dxa"/>
            <w:vAlign w:val="center"/>
          </w:tcPr>
          <w:p w14:paraId="64524BF6" w14:textId="77777777" w:rsidR="001F7863" w:rsidRPr="005F45BF" w:rsidRDefault="001F7863" w:rsidP="00290770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4439068A" w14:textId="77777777" w:rsidR="001F7863" w:rsidRPr="005F45BF" w:rsidRDefault="001F7863" w:rsidP="0029077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1"/>
                <w:szCs w:val="21"/>
                <w:shd w:val="clear" w:color="auto" w:fill="FFFFFF"/>
              </w:rPr>
              <w:t>Tópicos Especiais em Saberes e Linguagens II: História Pública e Estudos de Gênero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>– 30 horas / 02 créditos</w:t>
            </w:r>
          </w:p>
          <w:p w14:paraId="5ABCC4BB" w14:textId="77777777" w:rsidR="001F7863" w:rsidRPr="005F45BF" w:rsidRDefault="001F7863" w:rsidP="00290770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Profa. Dra. Claudia Priori</w:t>
            </w:r>
          </w:p>
          <w:p w14:paraId="16D429A8" w14:textId="77777777" w:rsidR="001F7863" w:rsidRPr="005F45BF" w:rsidRDefault="001F7863" w:rsidP="0029077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F45BF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 xml:space="preserve">A disciplina propõe abordar a História Pública e os Estudos de Gênero, refletindo sobre os sentidos e itinerários de intersecções entre os campos, tendo como eixos de discussão as relações de gênero, as histórias das mulheres, a diversidade, as masculinidades e os debates da teoria </w:t>
            </w:r>
            <w:r w:rsidRPr="005F45BF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1"/>
                <w:szCs w:val="21"/>
              </w:rPr>
              <w:t>Queer</w:t>
            </w:r>
            <w:r w:rsidRPr="005F45BF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w:t>, bem como discutir sobre a produção, publicização e/ou divulgação de saberes e práticas envolvendo estas temáticas na perspectiva e diálogo com a história pública.</w:t>
            </w:r>
          </w:p>
        </w:tc>
      </w:tr>
      <w:tr w:rsidR="001F7863" w:rsidRPr="00EB4ADC" w14:paraId="282303AF" w14:textId="77777777" w:rsidTr="001F7863">
        <w:trPr>
          <w:jc w:val="center"/>
        </w:trPr>
        <w:tc>
          <w:tcPr>
            <w:tcW w:w="695" w:type="dxa"/>
            <w:vAlign w:val="center"/>
          </w:tcPr>
          <w:p w14:paraId="3BFC0969" w14:textId="77777777" w:rsidR="001F7863" w:rsidRPr="005F45BF" w:rsidRDefault="001F7863" w:rsidP="00290770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5F45B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4F01C9AD" w14:textId="77777777" w:rsidR="001F7863" w:rsidRPr="005F45BF" w:rsidRDefault="001F7863" w:rsidP="00290770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</w:pPr>
            <w:r w:rsidRPr="005F45BF">
              <w:rPr>
                <w:rFonts w:ascii="Times New Roman" w:hAnsi="Times New Roman" w:cs="Times New Roman"/>
                <w:b/>
                <w:i/>
                <w:color w:val="201F1E"/>
                <w:sz w:val="21"/>
                <w:szCs w:val="21"/>
                <w:shd w:val="clear" w:color="auto" w:fill="FFFFFF"/>
              </w:rPr>
              <w:t>Como escrever história para não-historiadores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5F45BF">
              <w:rPr>
                <w:rFonts w:ascii="Times New Roman" w:hAnsi="Times New Roman" w:cs="Times New Roman"/>
                <w:b/>
                <w:noProof/>
                <w:color w:val="000000" w:themeColor="text1"/>
                <w:sz w:val="21"/>
                <w:szCs w:val="21"/>
                <w:shd w:val="clear" w:color="auto" w:fill="FFFFFF" w:themeFill="background1"/>
              </w:rPr>
              <w:t>– 30 horas / 02 créditos</w:t>
            </w:r>
          </w:p>
          <w:p w14:paraId="12A2C519" w14:textId="77777777" w:rsidR="001F7863" w:rsidRPr="005F45BF" w:rsidRDefault="001F7863" w:rsidP="00290770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F45BF">
              <w:rPr>
                <w:rFonts w:ascii="Times New Roman" w:hAnsi="Times New Roman" w:cs="Times New Roman"/>
                <w:i/>
                <w:sz w:val="21"/>
                <w:szCs w:val="21"/>
              </w:rPr>
              <w:t>Prof. Dr. Ricardo Marques de Mello</w:t>
            </w:r>
          </w:p>
          <w:p w14:paraId="096FFBFE" w14:textId="77777777" w:rsidR="001F7863" w:rsidRPr="005F45BF" w:rsidRDefault="001F7863" w:rsidP="0029077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F45B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Escrita da história equilibrada e desequilibrada: acadêmica e popular; narrativa historiográfica: debates e características; best sellers da história; estratégias textuais de popularização do conhecimento histórico; prática de redação de historiografia popular.</w:t>
            </w: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464A33">
              <w:rPr>
                <w:rFonts w:ascii="Times" w:hAnsi="Times"/>
              </w:rPr>
            </w:r>
            <w:r w:rsidR="00464A33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0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464A33">
              <w:rPr>
                <w:rFonts w:ascii="Times" w:hAnsi="Times"/>
              </w:rPr>
            </w:r>
            <w:r w:rsidR="00464A33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Masculino</w:t>
            </w: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7A7A72E0" w14:textId="0C4F00F5" w:rsidR="001F7863" w:rsidRDefault="001F7863" w:rsidP="001F786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>
        <w:rPr>
          <w:rFonts w:ascii="Times" w:hAnsi="Times"/>
          <w:b/>
        </w:rPr>
        <w:t>II</w:t>
      </w:r>
      <w:r w:rsidRPr="00002430">
        <w:rPr>
          <w:rFonts w:ascii="Times" w:hAnsi="Times"/>
          <w:b/>
        </w:rPr>
        <w:t xml:space="preserve"> – GRADUAÇÃO</w:t>
      </w:r>
    </w:p>
    <w:p w14:paraId="4695F549" w14:textId="77777777" w:rsidR="001F7863" w:rsidRPr="00002430" w:rsidRDefault="001F7863" w:rsidP="001F7863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7863" w:rsidRPr="00002430" w14:paraId="3613E88C" w14:textId="77777777" w:rsidTr="00290770">
        <w:trPr>
          <w:trHeight w:val="454"/>
          <w:jc w:val="center"/>
        </w:trPr>
        <w:tc>
          <w:tcPr>
            <w:tcW w:w="6232" w:type="dxa"/>
            <w:vAlign w:val="center"/>
          </w:tcPr>
          <w:p w14:paraId="01EFB961" w14:textId="77777777" w:rsidR="001F7863" w:rsidRPr="00002430" w:rsidRDefault="001F7863" w:rsidP="00290770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64A77921" w14:textId="77777777" w:rsidR="001F7863" w:rsidRPr="00002430" w:rsidRDefault="001F7863" w:rsidP="00290770">
            <w:pPr>
              <w:rPr>
                <w:rFonts w:ascii="Times" w:hAnsi="Times"/>
              </w:rPr>
            </w:pPr>
          </w:p>
        </w:tc>
        <w:tc>
          <w:tcPr>
            <w:tcW w:w="3402" w:type="dxa"/>
            <w:vAlign w:val="center"/>
          </w:tcPr>
          <w:p w14:paraId="07DEDE5B" w14:textId="77777777" w:rsidR="001F7863" w:rsidRPr="00002430" w:rsidRDefault="001F7863" w:rsidP="00290770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</w:t>
            </w:r>
            <w:r>
              <w:rPr>
                <w:rFonts w:ascii="Times" w:hAnsi="Times"/>
              </w:rPr>
              <w:t>/Período que está matriculado(a):</w:t>
            </w:r>
          </w:p>
          <w:p w14:paraId="0C04FABD" w14:textId="77777777" w:rsidR="001F7863" w:rsidRPr="00002430" w:rsidRDefault="001F7863" w:rsidP="00290770">
            <w:pPr>
              <w:rPr>
                <w:rFonts w:ascii="Times" w:hAnsi="Times"/>
              </w:rPr>
            </w:pPr>
          </w:p>
        </w:tc>
      </w:tr>
      <w:tr w:rsidR="001F7863" w:rsidRPr="00002430" w14:paraId="008D68B2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34CD0C11" w14:textId="77777777" w:rsidR="001F7863" w:rsidRPr="00002430" w:rsidRDefault="001F7863" w:rsidP="00290770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3954AD69" w14:textId="77777777" w:rsidR="001F7863" w:rsidRPr="00002430" w:rsidRDefault="001F7863" w:rsidP="00290770">
            <w:pPr>
              <w:rPr>
                <w:rFonts w:ascii="Times" w:hAnsi="Times"/>
              </w:rPr>
            </w:pPr>
          </w:p>
        </w:tc>
      </w:tr>
    </w:tbl>
    <w:p w14:paraId="4F9C196E" w14:textId="77777777" w:rsidR="001F7863" w:rsidRDefault="001F7863" w:rsidP="00825044">
      <w:pPr>
        <w:jc w:val="both"/>
        <w:rPr>
          <w:rFonts w:ascii="Times" w:hAnsi="Times"/>
          <w:b/>
        </w:rPr>
      </w:pPr>
    </w:p>
    <w:p w14:paraId="39C605FE" w14:textId="77777777" w:rsidR="001F7863" w:rsidRDefault="001F7863" w:rsidP="00825044">
      <w:pPr>
        <w:jc w:val="both"/>
        <w:rPr>
          <w:rFonts w:ascii="Times" w:hAnsi="Times"/>
          <w:b/>
        </w:rPr>
      </w:pPr>
    </w:p>
    <w:p w14:paraId="562EE56B" w14:textId="77777777" w:rsidR="001F7863" w:rsidRDefault="001F7863" w:rsidP="00825044">
      <w:pPr>
        <w:jc w:val="both"/>
        <w:rPr>
          <w:rFonts w:ascii="Times" w:hAnsi="Times"/>
          <w:b/>
        </w:rPr>
      </w:pPr>
    </w:p>
    <w:p w14:paraId="2254FE75" w14:textId="0D9CDDB9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lastRenderedPageBreak/>
        <w:t>I</w:t>
      </w:r>
      <w:r w:rsidR="001F7863">
        <w:rPr>
          <w:rFonts w:ascii="Times" w:hAnsi="Times"/>
          <w:b/>
        </w:rPr>
        <w:t>V</w:t>
      </w:r>
      <w:r w:rsidRPr="00002430">
        <w:rPr>
          <w:rFonts w:ascii="Times" w:hAnsi="Times"/>
          <w:b/>
        </w:rPr>
        <w:t xml:space="preserve">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1F7863" w:rsidRDefault="00825044" w:rsidP="00825044">
      <w:pPr>
        <w:jc w:val="both"/>
        <w:rPr>
          <w:rFonts w:ascii="Times" w:hAnsi="Times"/>
        </w:rPr>
      </w:pPr>
    </w:p>
    <w:p w14:paraId="06F1FE7E" w14:textId="05961075" w:rsidR="00825044" w:rsidRDefault="00825044" w:rsidP="00825044">
      <w:pPr>
        <w:jc w:val="both"/>
        <w:rPr>
          <w:rFonts w:ascii="Times" w:hAnsi="Times"/>
          <w:b/>
        </w:rPr>
      </w:pPr>
    </w:p>
    <w:p w14:paraId="6902023D" w14:textId="0D1CBEAC" w:rsidR="001F7863" w:rsidRDefault="001F7863" w:rsidP="00825044">
      <w:pPr>
        <w:jc w:val="both"/>
        <w:rPr>
          <w:rFonts w:ascii="Times" w:hAnsi="Times"/>
          <w:b/>
        </w:rPr>
      </w:pPr>
    </w:p>
    <w:p w14:paraId="22CB7E2A" w14:textId="73B3D524" w:rsidR="001F7863" w:rsidRDefault="001F7863" w:rsidP="00825044">
      <w:pPr>
        <w:jc w:val="both"/>
        <w:rPr>
          <w:rFonts w:ascii="Times" w:hAnsi="Times"/>
          <w:b/>
        </w:rPr>
      </w:pPr>
    </w:p>
    <w:p w14:paraId="5504B5A5" w14:textId="77777777" w:rsidR="001F7863" w:rsidRPr="001F7863" w:rsidRDefault="001F7863" w:rsidP="00825044">
      <w:pPr>
        <w:jc w:val="both"/>
        <w:rPr>
          <w:rFonts w:ascii="Times" w:hAnsi="Times"/>
          <w:b/>
        </w:rPr>
      </w:pPr>
      <w:bookmarkStart w:id="2" w:name="_GoBack"/>
      <w:bookmarkEnd w:id="2"/>
    </w:p>
    <w:p w14:paraId="54FDF272" w14:textId="77777777" w:rsidR="001F7863" w:rsidRPr="005F45BF" w:rsidRDefault="001F7863" w:rsidP="001F786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2D4AF581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2FB91388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6A2F0EB0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2A535E50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5B55FDE0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0CF959E9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54FB09D3" w14:textId="77777777" w:rsidR="001F7863" w:rsidRPr="005F45BF" w:rsidRDefault="001F7863" w:rsidP="001F7863">
      <w:pPr>
        <w:rPr>
          <w:rFonts w:ascii="Times New Roman" w:hAnsi="Times New Roman" w:cs="Times New Roman"/>
        </w:rPr>
      </w:pPr>
    </w:p>
    <w:p w14:paraId="3DB4B6C0" w14:textId="77777777" w:rsidR="001F7863" w:rsidRPr="005F45BF" w:rsidRDefault="001F7863" w:rsidP="001F786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58D3A815" w14:textId="77777777" w:rsidR="001F7863" w:rsidRPr="005F45BF" w:rsidRDefault="001F7863" w:rsidP="001F786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77FE3334" w14:textId="419453AF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725B3E4F" w14:textId="31723F7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6F92E92" w14:textId="207C39F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8C83834" w14:textId="142118AE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4BC935E" w14:textId="616E53EA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A855" w14:textId="77777777" w:rsidR="00464A33" w:rsidRDefault="00464A33">
      <w:r>
        <w:separator/>
      </w:r>
    </w:p>
  </w:endnote>
  <w:endnote w:type="continuationSeparator" w:id="0">
    <w:p w14:paraId="18CB9595" w14:textId="77777777" w:rsidR="00464A33" w:rsidRDefault="0046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7489" w14:textId="77777777" w:rsidR="00464A33" w:rsidRDefault="00464A33">
      <w:r>
        <w:separator/>
      </w:r>
    </w:p>
  </w:footnote>
  <w:footnote w:type="continuationSeparator" w:id="0">
    <w:p w14:paraId="4A077A17" w14:textId="77777777" w:rsidR="00464A33" w:rsidRDefault="0046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1F786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4A33"/>
    <w:rsid w:val="00471BBE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06F7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6111"/>
    <w:rsid w:val="009A1C77"/>
    <w:rsid w:val="009B2269"/>
    <w:rsid w:val="009B6E48"/>
    <w:rsid w:val="009C2075"/>
    <w:rsid w:val="009E0E39"/>
    <w:rsid w:val="009F74B8"/>
    <w:rsid w:val="00A10FBE"/>
    <w:rsid w:val="00A15685"/>
    <w:rsid w:val="00A15DC4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0789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9B791692-765C-E04F-BAAC-72EE1D8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B849-CC6A-5549-9E8F-A687508D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10</cp:revision>
  <cp:lastPrinted>2019-03-26T22:04:00Z</cp:lastPrinted>
  <dcterms:created xsi:type="dcterms:W3CDTF">2020-04-07T18:25:00Z</dcterms:created>
  <dcterms:modified xsi:type="dcterms:W3CDTF">2021-05-25T12:52:00Z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